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EC3AB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EC3A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313AC7D" w:rsidR="001A53D6" w:rsidRPr="00C66E4D" w:rsidRDefault="00066EEC" w:rsidP="00EC3A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66EEC">
              <w:rPr>
                <w:rFonts w:ascii="Times New Roman" w:hAnsi="Times New Roman" w:cs="Times New Roman"/>
                <w:b/>
                <w:color w:val="000000" w:themeColor="text1"/>
              </w:rPr>
              <w:t>EJMRC-2959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EC3A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EC3A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bookmarkEnd w:id="0"/>
          </w:p>
          <w:p w14:paraId="0E0051C1" w14:textId="54D7BAB8" w:rsidR="003069E0" w:rsidRPr="00C66E4D" w:rsidRDefault="00066EEC" w:rsidP="00EC3AB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066EEC">
              <w:rPr>
                <w:rFonts w:ascii="Times New Roman" w:hAnsi="Times New Roman" w:cs="Times New Roman"/>
                <w:b/>
                <w:color w:val="000000" w:themeColor="text1"/>
              </w:rPr>
              <w:t>Alexandre</w:t>
            </w:r>
            <w:proofErr w:type="spellEnd"/>
            <w:r w:rsidRPr="00066EE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066EEC">
              <w:rPr>
                <w:rFonts w:ascii="Times New Roman" w:hAnsi="Times New Roman" w:cs="Times New Roman"/>
                <w:b/>
                <w:color w:val="000000" w:themeColor="text1"/>
              </w:rPr>
              <w:t>Tavartkiladze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EC3AB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EC3AB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EC3AB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EC3AB0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EC3AB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EC3AB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EC3AB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5C00CF9A" w:rsidR="002A5015" w:rsidRPr="00C66E4D" w:rsidRDefault="00E9204E" w:rsidP="00EC3AB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551962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066EEC" w:rsidRPr="00066E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Therapeutic Impact of </w:t>
            </w:r>
            <w:proofErr w:type="spellStart"/>
            <w:r w:rsidR="00066EEC" w:rsidRPr="00066E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Ademethionine</w:t>
            </w:r>
            <w:proofErr w:type="spellEnd"/>
            <w:r w:rsidR="00066EEC" w:rsidRPr="00066E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High-Dose Lycopene, and High-Dose </w:t>
            </w:r>
            <w:proofErr w:type="spellStart"/>
            <w:r w:rsidR="00066EEC" w:rsidRPr="00066E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Piceatannol</w:t>
            </w:r>
            <w:proofErr w:type="spellEnd"/>
            <w:r w:rsidR="00066EEC" w:rsidRPr="00066E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on Melatonin Secretion in Fatty Liver Disease</w:t>
            </w:r>
          </w:p>
          <w:p w14:paraId="0C162048" w14:textId="1D74A672" w:rsidR="005C4E59" w:rsidRDefault="00140858" w:rsidP="0046785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C66E4D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proofErr w:type="gramStart"/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Overall, the study represents a significant contribution to the field of FLD management by highlighting the potential benefits of </w:t>
            </w:r>
            <w:proofErr w:type="spellStart"/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ademethionine</w:t>
            </w:r>
            <w:proofErr w:type="spellEnd"/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lycopene, and </w:t>
            </w:r>
            <w:proofErr w:type="spellStart"/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piceatannol</w:t>
            </w:r>
            <w:proofErr w:type="spellEnd"/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combination therapy in improving melatonin secretion and associated health outcomes</w:t>
            </w:r>
            <w:proofErr w:type="gramEnd"/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Addressing the suggested improvements would further enhance the study's scientific rigor and clinical relevance, paving the way for future research in this area.</w:t>
            </w:r>
          </w:p>
          <w:p w14:paraId="05770FDE" w14:textId="77B1F2E4" w:rsidR="009E6A7A" w:rsidRPr="009E6A7A" w:rsidRDefault="00CA69A9" w:rsidP="009E6A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E6A7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provides a comprehensive background on FLD, covering its epidemiology, pathophysiology, and the role of melatonin, setting a strong foundation for the study.</w:t>
            </w:r>
          </w:p>
          <w:p w14:paraId="15181BCE" w14:textId="78FD4475" w:rsidR="005C4E59" w:rsidRDefault="00066EEC" w:rsidP="005C4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present the basic information of these 28 patients in a consolidated table forma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t, such as age, weight, etc. </w:t>
            </w:r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It appears that the </w:t>
            </w:r>
            <w:proofErr w:type="spellStart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Ademethionine+Lycopene</w:t>
            </w:r>
            <w:proofErr w:type="spellEnd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group and </w:t>
            </w:r>
            <w:proofErr w:type="spellStart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Ademethionine+Piceatannol</w:t>
            </w:r>
            <w:proofErr w:type="spellEnd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group are missing in the experimental design. Despite the article revealing the effectiveness of combined treatment with </w:t>
            </w:r>
            <w:proofErr w:type="spellStart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Ademethionine+Lycopene+Piceatannol</w:t>
            </w:r>
            <w:proofErr w:type="spellEnd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it </w:t>
            </w:r>
            <w:proofErr w:type="gramStart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cannot be ruled out</w:t>
            </w:r>
            <w:proofErr w:type="gramEnd"/>
            <w:r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that combinations involving a small number of drugs may also have therapeutic effects. I hope the authors can explain the reasons for such a broad-spectrum experimental design.</w:t>
            </w:r>
          </w:p>
          <w:p w14:paraId="0D4FD1D7" w14:textId="0AC65BCD" w:rsidR="009E6A7A" w:rsidRDefault="009E6A7A" w:rsidP="005C4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clinical implications of the observed improvements in biomarkers and clinical outcomes, including their relevance to FLD management and potential implications for patient care.</w:t>
            </w:r>
          </w:p>
          <w:p w14:paraId="190625CF" w14:textId="628F7EAA" w:rsidR="009E6A7A" w:rsidRPr="005C4E59" w:rsidRDefault="009E6A7A" w:rsidP="005C4E5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066EEC" w:rsidRPr="00066EE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potential translational implications of the findings, including considerations for clinical practice and future therapeutic development. Address how the results may influence treatment guidelines and patient care strategies.</w:t>
            </w:r>
          </w:p>
          <w:p w14:paraId="387941E6" w14:textId="0892A942" w:rsidR="0049531E" w:rsidRPr="00C66E4D" w:rsidRDefault="00DE24E6" w:rsidP="00EC3AB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EC3AB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61131" w14:textId="77777777" w:rsidR="00A576DD" w:rsidRDefault="00A576DD" w:rsidP="00F65AB0">
      <w:pPr>
        <w:spacing w:after="0" w:line="240" w:lineRule="auto"/>
      </w:pPr>
      <w:r>
        <w:separator/>
      </w:r>
    </w:p>
  </w:endnote>
  <w:endnote w:type="continuationSeparator" w:id="0">
    <w:p w14:paraId="6B0A8C48" w14:textId="77777777" w:rsidR="00A576DD" w:rsidRDefault="00A576DD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3BDAF" w14:textId="77777777" w:rsidR="00A576DD" w:rsidRDefault="00A576DD" w:rsidP="00F65AB0">
      <w:pPr>
        <w:spacing w:after="0" w:line="240" w:lineRule="auto"/>
      </w:pPr>
      <w:r>
        <w:separator/>
      </w:r>
    </w:p>
  </w:footnote>
  <w:footnote w:type="continuationSeparator" w:id="0">
    <w:p w14:paraId="1ED6712E" w14:textId="77777777" w:rsidR="00A576DD" w:rsidRDefault="00A576DD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"/>
  </w:num>
  <w:num w:numId="5">
    <w:abstractNumId w:val="3"/>
  </w:num>
  <w:num w:numId="6">
    <w:abstractNumId w:val="16"/>
  </w:num>
  <w:num w:numId="7">
    <w:abstractNumId w:val="14"/>
  </w:num>
  <w:num w:numId="8">
    <w:abstractNumId w:val="9"/>
  </w:num>
  <w:num w:numId="9">
    <w:abstractNumId w:val="13"/>
  </w:num>
  <w:num w:numId="10">
    <w:abstractNumId w:val="15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5"/>
  </w:num>
  <w:num w:numId="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6EEC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14D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636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6785A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D2ABA"/>
    <w:rsid w:val="005D673B"/>
    <w:rsid w:val="005D72EB"/>
    <w:rsid w:val="005D7C54"/>
    <w:rsid w:val="005D7FCF"/>
    <w:rsid w:val="005E31BB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6DD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4F121-07DC-4774-8433-234EB456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2024-02-29T12:54:00Z</dcterms:created>
  <dcterms:modified xsi:type="dcterms:W3CDTF">2024-02-29T12:54:00Z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